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94712" w14:textId="77777777" w:rsidR="00560D42" w:rsidRDefault="00572431" w:rsidP="00572431">
      <w:pPr>
        <w:pStyle w:val="Standard"/>
        <w:spacing w:line="276" w:lineRule="auto"/>
        <w:jc w:val="both"/>
        <w:rPr>
          <w:rFonts w:ascii="Arial" w:hAnsi="Arial"/>
          <w:b/>
          <w:bCs/>
          <w:sz w:val="22"/>
          <w:szCs w:val="22"/>
        </w:rPr>
      </w:pPr>
      <w:r w:rsidRPr="000450F2">
        <w:rPr>
          <w:rFonts w:ascii="Arial" w:hAnsi="Arial"/>
          <w:b/>
          <w:sz w:val="22"/>
          <w:szCs w:val="22"/>
        </w:rPr>
        <w:t xml:space="preserve">10 DŮVODŮ PROČ PODEPSAT </w:t>
      </w:r>
      <w:r w:rsidRPr="000450F2">
        <w:rPr>
          <w:rFonts w:ascii="Arial" w:hAnsi="Arial"/>
          <w:b/>
          <w:bCs/>
          <w:sz w:val="22"/>
          <w:szCs w:val="22"/>
        </w:rPr>
        <w:t>PETICI  PROTI  STANOVENÍ  AKCELERAČNÍCH  OBLASTÍ PRO  VĚTRNÉ A FOTOVOLTAICKÉ  ELEKTRÁRNY AOV 29 Býškovice, AOV 30 Kunovice, AOV 31 Kelč, AOS1 Kleštěnec, AOS 2 Bezuchov</w:t>
      </w:r>
    </w:p>
    <w:p w14:paraId="089DA835" w14:textId="77777777" w:rsidR="00572431" w:rsidRDefault="00572431" w:rsidP="00572431">
      <w:pPr>
        <w:pStyle w:val="Standard"/>
        <w:spacing w:line="276" w:lineRule="auto"/>
        <w:jc w:val="both"/>
        <w:rPr>
          <w:rFonts w:ascii="Arial" w:hAnsi="Arial"/>
          <w:b/>
          <w:bCs/>
          <w:sz w:val="20"/>
          <w:szCs w:val="20"/>
        </w:rPr>
      </w:pPr>
    </w:p>
    <w:p w14:paraId="7CC43D49" w14:textId="77777777" w:rsidR="00C21634" w:rsidRDefault="00C21634" w:rsidP="00572431">
      <w:pPr>
        <w:pStyle w:val="Standard"/>
        <w:spacing w:line="276" w:lineRule="auto"/>
        <w:jc w:val="both"/>
        <w:rPr>
          <w:rFonts w:ascii="Arial" w:hAnsi="Arial"/>
          <w:b/>
          <w:bCs/>
          <w:sz w:val="20"/>
          <w:szCs w:val="20"/>
        </w:rPr>
      </w:pPr>
    </w:p>
    <w:p w14:paraId="5B6696A4" w14:textId="77777777" w:rsidR="00C21634" w:rsidRPr="000450F2" w:rsidRDefault="00C21634" w:rsidP="00572431">
      <w:pPr>
        <w:pStyle w:val="Standard"/>
        <w:spacing w:line="276" w:lineRule="auto"/>
        <w:jc w:val="both"/>
        <w:rPr>
          <w:rFonts w:ascii="Arial" w:hAnsi="Arial"/>
          <w:b/>
          <w:bCs/>
          <w:sz w:val="20"/>
          <w:szCs w:val="20"/>
        </w:rPr>
      </w:pPr>
    </w:p>
    <w:p w14:paraId="234A9D72" w14:textId="0F6D04E9" w:rsidR="00572431" w:rsidRPr="000450F2" w:rsidRDefault="00572431" w:rsidP="00572431">
      <w:pPr>
        <w:pStyle w:val="Standard"/>
        <w:spacing w:line="276" w:lineRule="auto"/>
        <w:jc w:val="both"/>
        <w:rPr>
          <w:rFonts w:ascii="Arial" w:hAnsi="Arial"/>
          <w:bCs/>
          <w:sz w:val="20"/>
          <w:szCs w:val="20"/>
        </w:rPr>
      </w:pPr>
      <w:r w:rsidRPr="000450F2">
        <w:rPr>
          <w:rFonts w:ascii="Arial" w:hAnsi="Arial"/>
          <w:bCs/>
          <w:sz w:val="20"/>
          <w:szCs w:val="20"/>
        </w:rPr>
        <w:t xml:space="preserve">1/ </w:t>
      </w:r>
      <w:r w:rsidRPr="000450F2">
        <w:rPr>
          <w:rFonts w:ascii="Arial" w:hAnsi="Arial"/>
          <w:b/>
          <w:bCs/>
          <w:sz w:val="20"/>
          <w:szCs w:val="20"/>
        </w:rPr>
        <w:t>vizuální dopad na krajinu</w:t>
      </w:r>
      <w:r w:rsidR="00C21634">
        <w:rPr>
          <w:rFonts w:ascii="Arial" w:hAnsi="Arial"/>
          <w:b/>
          <w:bCs/>
          <w:sz w:val="20"/>
          <w:szCs w:val="20"/>
        </w:rPr>
        <w:t>,</w:t>
      </w:r>
      <w:r w:rsidRPr="000450F2">
        <w:rPr>
          <w:rFonts w:ascii="Arial" w:hAnsi="Arial"/>
          <w:b/>
          <w:bCs/>
          <w:sz w:val="20"/>
          <w:szCs w:val="20"/>
        </w:rPr>
        <w:t xml:space="preserve"> život obyvatel </w:t>
      </w:r>
      <w:r w:rsidR="00C21634">
        <w:rPr>
          <w:rFonts w:ascii="Arial" w:hAnsi="Arial"/>
          <w:b/>
          <w:bCs/>
          <w:sz w:val="20"/>
          <w:szCs w:val="20"/>
        </w:rPr>
        <w:t>a cenu nemovitostí</w:t>
      </w:r>
    </w:p>
    <w:p w14:paraId="0086EDFE" w14:textId="77777777" w:rsidR="00572431" w:rsidRPr="000450F2" w:rsidRDefault="00572431" w:rsidP="00572431">
      <w:pPr>
        <w:pStyle w:val="Standard"/>
        <w:spacing w:after="40"/>
        <w:jc w:val="both"/>
        <w:rPr>
          <w:rFonts w:ascii="Arial" w:hAnsi="Arial"/>
          <w:sz w:val="20"/>
          <w:szCs w:val="20"/>
        </w:rPr>
      </w:pPr>
      <w:r w:rsidRPr="000450F2">
        <w:rPr>
          <w:rFonts w:ascii="Arial" w:hAnsi="Arial"/>
          <w:sz w:val="20"/>
          <w:szCs w:val="20"/>
        </w:rPr>
        <w:t>S ohledem na stanovenou AOV29, AOV30 a AOV31 je maximalizováno riziko „Obklíčení obcí“ umístěním VTE. Pokud se budou realizovat záměry v jednotlivých katastrech obcí  odděleně, dojde k dominovému efektu a ve výsledku k obklíčení obcí. Obce ztratí kontakt s volnou krajinou. Obyvatelé budou žít v "průmyslové kleci". Obce budou vizuálně a akusticky  uzavřeny větrnými parky ze všech světových stran. Vymezené AOV29, AOV30, AOV31 mají vizuální dopad na krajinu, kdy se stávají nepřehlédnutelnou technickou dominantou viditelnou ze širokého okolí, včetně památkově exponovaných míst. Jejich výstavbou by došlo k narušení krajinného rámce a dálkových pohledů na Hostýnskou magistrálu a poutní místo Svatý Hostýn, což je v rozporu se zájmy NPÚ. Instalace věží o výšce cca 200 m (včetně listů) by představovala brutální zásah do horizontu a měřítka krajiny Záhoří.</w:t>
      </w:r>
    </w:p>
    <w:p w14:paraId="5364D900" w14:textId="77777777" w:rsidR="00572431" w:rsidRPr="000450F2" w:rsidRDefault="00572431" w:rsidP="00572431">
      <w:pPr>
        <w:pStyle w:val="Standard"/>
        <w:spacing w:line="276" w:lineRule="auto"/>
        <w:jc w:val="both"/>
        <w:rPr>
          <w:rFonts w:ascii="Arial" w:hAnsi="Arial"/>
          <w:sz w:val="20"/>
          <w:szCs w:val="20"/>
        </w:rPr>
      </w:pPr>
    </w:p>
    <w:p w14:paraId="5EE5C9E3" w14:textId="77777777" w:rsidR="00572431" w:rsidRPr="000450F2" w:rsidRDefault="00572431" w:rsidP="00572431">
      <w:pPr>
        <w:pStyle w:val="Standard"/>
        <w:spacing w:line="276" w:lineRule="auto"/>
        <w:jc w:val="both"/>
        <w:rPr>
          <w:rFonts w:ascii="Arial" w:hAnsi="Arial"/>
          <w:b/>
          <w:sz w:val="20"/>
          <w:szCs w:val="20"/>
        </w:rPr>
      </w:pPr>
      <w:r w:rsidRPr="000450F2">
        <w:rPr>
          <w:rFonts w:ascii="Arial" w:hAnsi="Arial"/>
          <w:b/>
          <w:sz w:val="20"/>
          <w:szCs w:val="20"/>
        </w:rPr>
        <w:t>2/ bariéra pro zvěř</w:t>
      </w:r>
    </w:p>
    <w:p w14:paraId="307EFC8E" w14:textId="720DC997" w:rsidR="00572431" w:rsidRPr="000450F2" w:rsidRDefault="00572431" w:rsidP="00572431">
      <w:pPr>
        <w:pStyle w:val="Standard"/>
        <w:spacing w:after="40"/>
        <w:jc w:val="both"/>
        <w:rPr>
          <w:rFonts w:ascii="Arial" w:hAnsi="Arial"/>
          <w:sz w:val="20"/>
          <w:szCs w:val="20"/>
        </w:rPr>
      </w:pPr>
      <w:r w:rsidRPr="000450F2">
        <w:rPr>
          <w:rFonts w:ascii="Arial" w:hAnsi="Arial"/>
          <w:sz w:val="20"/>
          <w:szCs w:val="20"/>
        </w:rPr>
        <w:t>Větrné elektrárny výšky 200 m umístěné v nadregionálním biokoridoru nebo v jeho ochranné zóně tvoří bariéru migrace velkých savců. Tato bariéra funguje i bez přímého zásahu do vymezené plochy koridoru, protože turbíny vytvářejí hlukovou a světelnou expozici a servisní cesty fyzicky fragmentují krajinu (</w:t>
      </w:r>
      <w:proofErr w:type="spellStart"/>
      <w:r w:rsidRPr="000450F2">
        <w:rPr>
          <w:rFonts w:ascii="Arial" w:hAnsi="Arial"/>
          <w:sz w:val="20"/>
          <w:szCs w:val="20"/>
        </w:rPr>
        <w:t>Berthinussen</w:t>
      </w:r>
      <w:proofErr w:type="spellEnd"/>
      <w:r w:rsidRPr="000450F2">
        <w:rPr>
          <w:rFonts w:ascii="Arial" w:hAnsi="Arial"/>
          <w:sz w:val="20"/>
          <w:szCs w:val="20"/>
        </w:rPr>
        <w:t xml:space="preserve"> &amp; </w:t>
      </w:r>
      <w:proofErr w:type="spellStart"/>
      <w:r w:rsidRPr="000450F2">
        <w:rPr>
          <w:rFonts w:ascii="Arial" w:hAnsi="Arial"/>
          <w:sz w:val="20"/>
          <w:szCs w:val="20"/>
        </w:rPr>
        <w:t>Altringham</w:t>
      </w:r>
      <w:proofErr w:type="spellEnd"/>
      <w:r w:rsidRPr="000450F2">
        <w:rPr>
          <w:rFonts w:ascii="Arial" w:hAnsi="Arial"/>
          <w:sz w:val="20"/>
          <w:szCs w:val="20"/>
        </w:rPr>
        <w:t xml:space="preserve">, 2012; </w:t>
      </w:r>
      <w:proofErr w:type="spellStart"/>
      <w:r w:rsidRPr="000450F2">
        <w:rPr>
          <w:rFonts w:ascii="Arial" w:hAnsi="Arial"/>
          <w:sz w:val="20"/>
          <w:szCs w:val="20"/>
        </w:rPr>
        <w:t>Helldin</w:t>
      </w:r>
      <w:proofErr w:type="spellEnd"/>
      <w:r w:rsidRPr="000450F2">
        <w:rPr>
          <w:rFonts w:ascii="Arial" w:hAnsi="Arial"/>
          <w:sz w:val="20"/>
          <w:szCs w:val="20"/>
        </w:rPr>
        <w:t xml:space="preserve"> et al., 2012).  Odůvodnění územního opatření samo přiznává střet se zásahovou zónou migrace a uvádí druhy: los evropský, vlk obecný, rys ostrovid a medvěd hnědý. Zároveň stanoví, že realizací záměrů OZE nesmí dojít ke snížení průchodnosti migračního koridoru — tedy implicitně přiznává konflikt, který není na úrovni vymezení zóny vyřešen.</w:t>
      </w:r>
    </w:p>
    <w:p w14:paraId="12ABAD6E" w14:textId="77777777" w:rsidR="00572431" w:rsidRPr="000450F2" w:rsidRDefault="00572431" w:rsidP="00572431">
      <w:pPr>
        <w:pStyle w:val="Standard"/>
        <w:spacing w:line="276" w:lineRule="auto"/>
        <w:jc w:val="both"/>
        <w:rPr>
          <w:rFonts w:ascii="Arial" w:hAnsi="Arial"/>
          <w:b/>
          <w:sz w:val="20"/>
          <w:szCs w:val="20"/>
        </w:rPr>
      </w:pPr>
    </w:p>
    <w:p w14:paraId="5F290045" w14:textId="77777777" w:rsidR="00572431" w:rsidRPr="000450F2" w:rsidRDefault="00572431" w:rsidP="00572431">
      <w:pPr>
        <w:pStyle w:val="Standard"/>
        <w:spacing w:line="276" w:lineRule="auto"/>
        <w:jc w:val="both"/>
        <w:rPr>
          <w:rFonts w:ascii="Arial" w:hAnsi="Arial"/>
          <w:b/>
          <w:sz w:val="20"/>
          <w:szCs w:val="20"/>
        </w:rPr>
      </w:pPr>
      <w:r w:rsidRPr="000450F2">
        <w:rPr>
          <w:rFonts w:ascii="Arial" w:hAnsi="Arial"/>
          <w:b/>
          <w:sz w:val="20"/>
          <w:szCs w:val="20"/>
        </w:rPr>
        <w:t xml:space="preserve">3/ biotop vodních ptáků </w:t>
      </w:r>
    </w:p>
    <w:p w14:paraId="42FC3075" w14:textId="77777777" w:rsidR="004173B0" w:rsidRPr="000450F2" w:rsidRDefault="004173B0" w:rsidP="006978F6">
      <w:pPr>
        <w:pStyle w:val="Standard"/>
        <w:jc w:val="both"/>
        <w:rPr>
          <w:rFonts w:ascii="Arial" w:hAnsi="Arial"/>
          <w:b/>
          <w:sz w:val="20"/>
          <w:szCs w:val="20"/>
        </w:rPr>
      </w:pPr>
      <w:r w:rsidRPr="000450F2">
        <w:rPr>
          <w:rFonts w:ascii="Arial" w:hAnsi="Arial"/>
          <w:sz w:val="20"/>
          <w:szCs w:val="20"/>
        </w:rPr>
        <w:t xml:space="preserve">Rybník </w:t>
      </w:r>
      <w:proofErr w:type="spellStart"/>
      <w:r w:rsidRPr="000450F2">
        <w:rPr>
          <w:rFonts w:ascii="Arial" w:hAnsi="Arial"/>
          <w:sz w:val="20"/>
          <w:szCs w:val="20"/>
        </w:rPr>
        <w:t>Vrbčák</w:t>
      </w:r>
      <w:proofErr w:type="spellEnd"/>
      <w:r w:rsidRPr="000450F2">
        <w:rPr>
          <w:rFonts w:ascii="Arial" w:hAnsi="Arial"/>
          <w:sz w:val="20"/>
          <w:szCs w:val="20"/>
        </w:rPr>
        <w:t xml:space="preserve"> (v </w:t>
      </w:r>
      <w:proofErr w:type="spellStart"/>
      <w:r w:rsidRPr="000450F2">
        <w:rPr>
          <w:rFonts w:ascii="Arial" w:hAnsi="Arial"/>
          <w:sz w:val="20"/>
          <w:szCs w:val="20"/>
        </w:rPr>
        <w:t>k.ú</w:t>
      </w:r>
      <w:proofErr w:type="spellEnd"/>
      <w:r w:rsidRPr="000450F2">
        <w:rPr>
          <w:rFonts w:ascii="Arial" w:hAnsi="Arial"/>
          <w:sz w:val="20"/>
          <w:szCs w:val="20"/>
        </w:rPr>
        <w:t>. Býškovice) a rybník Rouské (v </w:t>
      </w:r>
      <w:proofErr w:type="spellStart"/>
      <w:r w:rsidRPr="000450F2">
        <w:rPr>
          <w:rFonts w:ascii="Arial" w:hAnsi="Arial"/>
          <w:sz w:val="20"/>
          <w:szCs w:val="20"/>
        </w:rPr>
        <w:t>k.ú</w:t>
      </w:r>
      <w:proofErr w:type="spellEnd"/>
      <w:r w:rsidRPr="000450F2">
        <w:rPr>
          <w:rFonts w:ascii="Arial" w:hAnsi="Arial"/>
          <w:sz w:val="20"/>
          <w:szCs w:val="20"/>
        </w:rPr>
        <w:t xml:space="preserve">. Rouské) tvoří cenný mokřadní biotop s výskytem vodních a mokřadních druhů ptáků. </w:t>
      </w:r>
      <w:r w:rsidRPr="000450F2">
        <w:rPr>
          <w:rFonts w:ascii="Arial" w:hAnsi="Arial"/>
          <w:color w:val="000000"/>
          <w:sz w:val="20"/>
          <w:szCs w:val="20"/>
        </w:rPr>
        <w:t xml:space="preserve">Jedná se o doložené hnízdiště a loviště zvláště chráněných druhů ptáků vázaných na mokřadní biotopy – pravidelně se zde vyskytuje moták pochop, bukač velký, </w:t>
      </w:r>
      <w:proofErr w:type="spellStart"/>
      <w:r w:rsidRPr="000450F2">
        <w:rPr>
          <w:rFonts w:ascii="Arial" w:hAnsi="Arial"/>
          <w:color w:val="000000"/>
          <w:sz w:val="20"/>
          <w:szCs w:val="20"/>
        </w:rPr>
        <w:t>bukáček</w:t>
      </w:r>
      <w:proofErr w:type="spellEnd"/>
      <w:r w:rsidRPr="000450F2">
        <w:rPr>
          <w:rFonts w:ascii="Arial" w:hAnsi="Arial"/>
          <w:color w:val="000000"/>
          <w:sz w:val="20"/>
          <w:szCs w:val="20"/>
        </w:rPr>
        <w:t xml:space="preserve"> malý a chřástal vodní.</w:t>
      </w:r>
      <w:r w:rsidR="006978F6" w:rsidRPr="000450F2">
        <w:rPr>
          <w:rFonts w:ascii="Arial" w:hAnsi="Arial"/>
          <w:color w:val="000000"/>
          <w:sz w:val="20"/>
          <w:szCs w:val="20"/>
        </w:rPr>
        <w:t xml:space="preserve"> </w:t>
      </w:r>
      <w:r w:rsidRPr="000450F2">
        <w:rPr>
          <w:rFonts w:ascii="Arial" w:hAnsi="Arial"/>
          <w:sz w:val="20"/>
          <w:szCs w:val="20"/>
        </w:rPr>
        <w:t xml:space="preserve">Vědecké studie opakovaně prokázaly, že vrubozobí ptáci (kachny, husy, labutě), </w:t>
      </w:r>
      <w:proofErr w:type="spellStart"/>
      <w:r w:rsidRPr="000450F2">
        <w:rPr>
          <w:rFonts w:ascii="Arial" w:hAnsi="Arial"/>
          <w:sz w:val="20"/>
          <w:szCs w:val="20"/>
        </w:rPr>
        <w:t>bahňáci</w:t>
      </w:r>
      <w:proofErr w:type="spellEnd"/>
      <w:r w:rsidRPr="000450F2">
        <w:rPr>
          <w:rFonts w:ascii="Arial" w:hAnsi="Arial"/>
          <w:sz w:val="20"/>
          <w:szCs w:val="20"/>
        </w:rPr>
        <w:t xml:space="preserve"> a jeřábi si od větrných elektráren dlouhodobě udržují odstup až 800 metrů a na turbíny si nezvykají. Umístění větrných elektráren přímo v AOV 29 by proto znamenalo trvalé opuštění rybníků těmito druhy a zánik jejich funkce jako mokřadního biotopu.</w:t>
      </w:r>
    </w:p>
    <w:p w14:paraId="5FDBC6BA" w14:textId="77777777" w:rsidR="00572431" w:rsidRPr="000450F2" w:rsidRDefault="00572431" w:rsidP="00572431">
      <w:pPr>
        <w:pStyle w:val="Standard"/>
        <w:spacing w:line="276" w:lineRule="auto"/>
        <w:jc w:val="both"/>
        <w:rPr>
          <w:rFonts w:ascii="Arial" w:hAnsi="Arial"/>
          <w:b/>
          <w:sz w:val="20"/>
          <w:szCs w:val="20"/>
        </w:rPr>
      </w:pPr>
    </w:p>
    <w:p w14:paraId="0D63BFB1" w14:textId="77777777" w:rsidR="006978F6" w:rsidRPr="000450F2" w:rsidRDefault="00572431" w:rsidP="006978F6">
      <w:pPr>
        <w:pStyle w:val="Standard"/>
        <w:rPr>
          <w:rFonts w:ascii="Arial" w:hAnsi="Arial"/>
          <w:b/>
          <w:bCs/>
          <w:sz w:val="20"/>
          <w:szCs w:val="20"/>
        </w:rPr>
      </w:pPr>
      <w:r w:rsidRPr="000450F2">
        <w:rPr>
          <w:rFonts w:ascii="Arial" w:hAnsi="Arial"/>
          <w:b/>
          <w:sz w:val="20"/>
          <w:szCs w:val="20"/>
        </w:rPr>
        <w:t>4/</w:t>
      </w:r>
      <w:r w:rsidR="006978F6" w:rsidRPr="000450F2">
        <w:rPr>
          <w:rFonts w:ascii="Arial" w:hAnsi="Arial"/>
          <w:b/>
          <w:bCs/>
          <w:sz w:val="20"/>
          <w:szCs w:val="20"/>
        </w:rPr>
        <w:t xml:space="preserve"> blízkost EVL Bečva – Žebračka a nivy řeky Bečvy</w:t>
      </w:r>
    </w:p>
    <w:p w14:paraId="46BD8EEA" w14:textId="77777777" w:rsidR="006978F6" w:rsidRPr="000450F2" w:rsidRDefault="006978F6" w:rsidP="006978F6">
      <w:pPr>
        <w:pStyle w:val="Standard"/>
        <w:jc w:val="both"/>
        <w:rPr>
          <w:rFonts w:ascii="Arial" w:hAnsi="Arial"/>
          <w:sz w:val="20"/>
          <w:szCs w:val="20"/>
        </w:rPr>
      </w:pPr>
      <w:r w:rsidRPr="000450F2">
        <w:rPr>
          <w:rFonts w:ascii="Arial" w:hAnsi="Arial"/>
          <w:sz w:val="20"/>
          <w:szCs w:val="20"/>
        </w:rPr>
        <w:t xml:space="preserve">Do 5 km od navrhované zóny AOV 29 se nachází niva řeky Bečvy a </w:t>
      </w:r>
      <w:r w:rsidRPr="000450F2">
        <w:rPr>
          <w:rFonts w:ascii="Arial" w:hAnsi="Arial"/>
          <w:bCs/>
          <w:sz w:val="20"/>
          <w:szCs w:val="20"/>
        </w:rPr>
        <w:t>Evropsky významná lokalita Bečva – Žebračka (soustava Natura 2000),</w:t>
      </w:r>
      <w:r w:rsidRPr="000450F2">
        <w:rPr>
          <w:rFonts w:ascii="Arial" w:hAnsi="Arial"/>
          <w:sz w:val="20"/>
          <w:szCs w:val="20"/>
        </w:rPr>
        <w:t xml:space="preserve"> zahrnující lužní lesy a říční biotopy od Hranic na Moravě po Lipník nad Bečvou. Východně se v této nivě nacházejí rovněž </w:t>
      </w:r>
      <w:r w:rsidRPr="000450F2">
        <w:rPr>
          <w:rFonts w:ascii="Arial" w:hAnsi="Arial"/>
          <w:bCs/>
          <w:sz w:val="20"/>
          <w:szCs w:val="20"/>
        </w:rPr>
        <w:t>rybníky v okolí Hustopeče nad Bečvou</w:t>
      </w:r>
      <w:r w:rsidRPr="000450F2">
        <w:rPr>
          <w:rFonts w:ascii="Arial" w:hAnsi="Arial"/>
          <w:sz w:val="20"/>
          <w:szCs w:val="20"/>
        </w:rPr>
        <w:t>. Větrné elektrárny představují pro tažné a migrující ptáky bariéru. V kombinaci s výskytem dalších chráněných lokalit v okolí vytváří AOV 29 nepřijatelný tlak na celý ekologický koridor podél Bečvy.</w:t>
      </w:r>
    </w:p>
    <w:p w14:paraId="712087E3" w14:textId="77777777" w:rsidR="006978F6" w:rsidRPr="000450F2" w:rsidRDefault="006978F6" w:rsidP="006978F6">
      <w:pPr>
        <w:pStyle w:val="Standard"/>
        <w:jc w:val="both"/>
        <w:rPr>
          <w:rFonts w:ascii="Arial" w:hAnsi="Arial"/>
          <w:sz w:val="20"/>
          <w:szCs w:val="20"/>
        </w:rPr>
      </w:pPr>
    </w:p>
    <w:p w14:paraId="080A0A5A" w14:textId="77777777" w:rsidR="006978F6" w:rsidRPr="000450F2" w:rsidRDefault="006978F6" w:rsidP="006978F6">
      <w:pPr>
        <w:pStyle w:val="Standard"/>
        <w:spacing w:line="276" w:lineRule="auto"/>
        <w:ind w:left="284" w:hanging="284"/>
        <w:jc w:val="both"/>
        <w:rPr>
          <w:rFonts w:ascii="Arial" w:hAnsi="Arial"/>
          <w:sz w:val="20"/>
          <w:szCs w:val="20"/>
        </w:rPr>
      </w:pPr>
      <w:r w:rsidRPr="000450F2">
        <w:rPr>
          <w:rFonts w:ascii="Arial" w:hAnsi="Arial"/>
          <w:b/>
          <w:sz w:val="20"/>
          <w:szCs w:val="20"/>
        </w:rPr>
        <w:t>5/</w:t>
      </w:r>
      <w:r w:rsidRPr="000450F2">
        <w:rPr>
          <w:rFonts w:ascii="Arial" w:hAnsi="Arial"/>
          <w:sz w:val="20"/>
          <w:szCs w:val="20"/>
        </w:rPr>
        <w:t xml:space="preserve"> </w:t>
      </w:r>
      <w:r w:rsidRPr="000450F2">
        <w:rPr>
          <w:rFonts w:ascii="Arial" w:hAnsi="Arial"/>
          <w:b/>
          <w:bCs/>
          <w:sz w:val="20"/>
          <w:szCs w:val="20"/>
        </w:rPr>
        <w:t>Nedostatečná minimální vzdálenost od obydlí (pouhých 500m)</w:t>
      </w:r>
    </w:p>
    <w:p w14:paraId="043BCDFB" w14:textId="77777777" w:rsidR="006978F6" w:rsidRPr="000450F2" w:rsidRDefault="006978F6" w:rsidP="006978F6">
      <w:pPr>
        <w:pStyle w:val="Standard"/>
        <w:spacing w:after="40"/>
        <w:jc w:val="both"/>
        <w:rPr>
          <w:rFonts w:ascii="Arial" w:hAnsi="Arial"/>
          <w:sz w:val="20"/>
          <w:szCs w:val="20"/>
        </w:rPr>
      </w:pPr>
      <w:r w:rsidRPr="000450F2">
        <w:rPr>
          <w:rFonts w:ascii="Arial" w:hAnsi="Arial"/>
          <w:sz w:val="20"/>
          <w:szCs w:val="20"/>
        </w:rPr>
        <w:t xml:space="preserve">Předmětné opatření obecné povahy nestanoví žádnou minimální vzdálenost větrných elektráren od obytné zástavby. Z Návrhu změny č. 2 ÚRP vyplývá, že vzdálenost nejbližších VTE od obydlí by měla činit pouhých 500 m. Tato vzdálenost je z lékařského a hygienického hlediska zcela nepřijatelná. Odborná literatura i zahraniční zkušenosti jednoznačně prokazují, že vzdálenost 500 m od VTE o výšce až 200 m  je nedostatečná. </w:t>
      </w:r>
    </w:p>
    <w:p w14:paraId="0559BAE7" w14:textId="77777777" w:rsidR="006978F6" w:rsidRPr="000450F2" w:rsidRDefault="006978F6" w:rsidP="006978F6">
      <w:pPr>
        <w:pStyle w:val="Standard"/>
        <w:jc w:val="both"/>
        <w:rPr>
          <w:rFonts w:ascii="Arial" w:hAnsi="Arial"/>
          <w:sz w:val="20"/>
          <w:szCs w:val="20"/>
        </w:rPr>
      </w:pPr>
    </w:p>
    <w:p w14:paraId="5E63E38B" w14:textId="77777777" w:rsidR="006978F6" w:rsidRPr="000450F2" w:rsidRDefault="006978F6" w:rsidP="006978F6">
      <w:pPr>
        <w:pStyle w:val="Standard"/>
        <w:spacing w:line="276" w:lineRule="auto"/>
        <w:jc w:val="both"/>
        <w:rPr>
          <w:rFonts w:ascii="Arial" w:hAnsi="Arial"/>
          <w:sz w:val="20"/>
          <w:szCs w:val="20"/>
        </w:rPr>
      </w:pPr>
      <w:r w:rsidRPr="000450F2">
        <w:rPr>
          <w:rFonts w:ascii="Arial" w:hAnsi="Arial"/>
          <w:b/>
          <w:sz w:val="20"/>
          <w:szCs w:val="20"/>
        </w:rPr>
        <w:t>6/ Nedostatečné posouzení vlivů na veřejné zdraví (</w:t>
      </w:r>
      <w:proofErr w:type="spellStart"/>
      <w:r w:rsidRPr="000450F2">
        <w:rPr>
          <w:rFonts w:ascii="Arial" w:hAnsi="Arial"/>
          <w:b/>
          <w:sz w:val="20"/>
          <w:szCs w:val="20"/>
        </w:rPr>
        <w:t>Health</w:t>
      </w:r>
      <w:proofErr w:type="spellEnd"/>
      <w:r w:rsidRPr="000450F2">
        <w:rPr>
          <w:rFonts w:ascii="Arial" w:hAnsi="Arial"/>
          <w:b/>
          <w:sz w:val="20"/>
          <w:szCs w:val="20"/>
        </w:rPr>
        <w:t xml:space="preserve"> </w:t>
      </w:r>
      <w:proofErr w:type="spellStart"/>
      <w:r w:rsidRPr="000450F2">
        <w:rPr>
          <w:rFonts w:ascii="Arial" w:hAnsi="Arial"/>
          <w:b/>
          <w:sz w:val="20"/>
          <w:szCs w:val="20"/>
        </w:rPr>
        <w:t>Impact</w:t>
      </w:r>
      <w:proofErr w:type="spellEnd"/>
      <w:r w:rsidRPr="000450F2">
        <w:rPr>
          <w:rFonts w:ascii="Arial" w:hAnsi="Arial"/>
          <w:b/>
          <w:sz w:val="20"/>
          <w:szCs w:val="20"/>
        </w:rPr>
        <w:t xml:space="preserve"> </w:t>
      </w:r>
      <w:proofErr w:type="spellStart"/>
      <w:r w:rsidRPr="000450F2">
        <w:rPr>
          <w:rFonts w:ascii="Arial" w:hAnsi="Arial"/>
          <w:b/>
          <w:sz w:val="20"/>
          <w:szCs w:val="20"/>
        </w:rPr>
        <w:t>Assessment</w:t>
      </w:r>
      <w:proofErr w:type="spellEnd"/>
      <w:r w:rsidRPr="000450F2">
        <w:rPr>
          <w:rFonts w:ascii="Arial" w:hAnsi="Arial"/>
          <w:b/>
          <w:sz w:val="20"/>
          <w:szCs w:val="20"/>
        </w:rPr>
        <w:t>)</w:t>
      </w:r>
    </w:p>
    <w:p w14:paraId="391D2B1B" w14:textId="77777777" w:rsidR="006978F6" w:rsidRPr="000450F2" w:rsidRDefault="006978F6" w:rsidP="000450F2">
      <w:pPr>
        <w:pStyle w:val="Standard"/>
        <w:jc w:val="both"/>
        <w:rPr>
          <w:rFonts w:ascii="Arial" w:hAnsi="Arial"/>
          <w:sz w:val="20"/>
          <w:szCs w:val="20"/>
        </w:rPr>
      </w:pPr>
      <w:r w:rsidRPr="000450F2">
        <w:rPr>
          <w:rFonts w:ascii="Arial" w:hAnsi="Arial"/>
          <w:sz w:val="20"/>
          <w:szCs w:val="20"/>
        </w:rPr>
        <w:t>Z dostupného textu opatření obecné povahy není zřejmé, zda bylo zpracováno posouzení vlivů na veřejné zdraví (</w:t>
      </w:r>
      <w:proofErr w:type="spellStart"/>
      <w:r w:rsidRPr="000450F2">
        <w:rPr>
          <w:rFonts w:ascii="Arial" w:hAnsi="Arial"/>
          <w:sz w:val="20"/>
          <w:szCs w:val="20"/>
        </w:rPr>
        <w:t>Health</w:t>
      </w:r>
      <w:proofErr w:type="spellEnd"/>
      <w:r w:rsidRPr="000450F2">
        <w:rPr>
          <w:rFonts w:ascii="Arial" w:hAnsi="Arial"/>
          <w:sz w:val="20"/>
          <w:szCs w:val="20"/>
        </w:rPr>
        <w:t xml:space="preserve"> </w:t>
      </w:r>
      <w:proofErr w:type="spellStart"/>
      <w:r w:rsidRPr="000450F2">
        <w:rPr>
          <w:rFonts w:ascii="Arial" w:hAnsi="Arial"/>
          <w:sz w:val="20"/>
          <w:szCs w:val="20"/>
        </w:rPr>
        <w:t>Impact</w:t>
      </w:r>
      <w:proofErr w:type="spellEnd"/>
      <w:r w:rsidRPr="000450F2">
        <w:rPr>
          <w:rFonts w:ascii="Arial" w:hAnsi="Arial"/>
          <w:sz w:val="20"/>
          <w:szCs w:val="20"/>
        </w:rPr>
        <w:t xml:space="preserve"> </w:t>
      </w:r>
      <w:proofErr w:type="spellStart"/>
      <w:r w:rsidRPr="000450F2">
        <w:rPr>
          <w:rFonts w:ascii="Arial" w:hAnsi="Arial"/>
          <w:sz w:val="20"/>
          <w:szCs w:val="20"/>
        </w:rPr>
        <w:t>Assessment</w:t>
      </w:r>
      <w:proofErr w:type="spellEnd"/>
      <w:r w:rsidRPr="000450F2">
        <w:rPr>
          <w:rFonts w:ascii="Arial" w:hAnsi="Arial"/>
          <w:sz w:val="20"/>
          <w:szCs w:val="20"/>
        </w:rPr>
        <w:t>, HIA) ve smyslu § 30 zákona č. 258/2000 Sb. a zda bylo Ministerstvo zdravotnictví ČR řádně zapojeno jako dotčený orgán státní správy. Absence takového posouzení představuje závažné procesní pochybení, které zakládá nezákonnost vydaného opatření obecné povahy.</w:t>
      </w:r>
    </w:p>
    <w:p w14:paraId="2F0B7BF5" w14:textId="77777777" w:rsidR="006978F6" w:rsidRPr="000450F2" w:rsidRDefault="006978F6" w:rsidP="006978F6">
      <w:pPr>
        <w:pStyle w:val="Standard"/>
        <w:spacing w:line="276" w:lineRule="auto"/>
        <w:jc w:val="both"/>
        <w:rPr>
          <w:rFonts w:ascii="Arial" w:hAnsi="Arial"/>
          <w:sz w:val="20"/>
          <w:szCs w:val="20"/>
        </w:rPr>
      </w:pPr>
    </w:p>
    <w:p w14:paraId="72AE3CB3" w14:textId="77777777" w:rsidR="00C21634" w:rsidRDefault="00C21634" w:rsidP="006978F6">
      <w:pPr>
        <w:pStyle w:val="Standard"/>
        <w:spacing w:line="276" w:lineRule="auto"/>
        <w:jc w:val="both"/>
        <w:rPr>
          <w:rFonts w:ascii="Arial" w:hAnsi="Arial"/>
          <w:b/>
          <w:sz w:val="20"/>
          <w:szCs w:val="20"/>
        </w:rPr>
      </w:pPr>
    </w:p>
    <w:p w14:paraId="669F34FA" w14:textId="09ADFC21" w:rsidR="006978F6" w:rsidRPr="000450F2" w:rsidRDefault="006978F6" w:rsidP="006978F6">
      <w:pPr>
        <w:pStyle w:val="Standard"/>
        <w:spacing w:line="276" w:lineRule="auto"/>
        <w:jc w:val="both"/>
        <w:rPr>
          <w:rFonts w:ascii="Arial" w:hAnsi="Arial"/>
          <w:b/>
          <w:sz w:val="20"/>
          <w:szCs w:val="20"/>
        </w:rPr>
      </w:pPr>
      <w:r w:rsidRPr="000450F2">
        <w:rPr>
          <w:rFonts w:ascii="Arial" w:hAnsi="Arial"/>
          <w:b/>
          <w:sz w:val="20"/>
          <w:szCs w:val="20"/>
        </w:rPr>
        <w:lastRenderedPageBreak/>
        <w:t xml:space="preserve">7/ Věčné chemikálie, kontaminace pozemků, ovzduší a vodních zdrojů </w:t>
      </w:r>
    </w:p>
    <w:p w14:paraId="04C045E6" w14:textId="77777777" w:rsidR="006978F6" w:rsidRPr="000450F2" w:rsidRDefault="006978F6" w:rsidP="000450F2">
      <w:pPr>
        <w:pStyle w:val="Standard"/>
        <w:jc w:val="both"/>
        <w:rPr>
          <w:rFonts w:ascii="Arial" w:hAnsi="Arial"/>
          <w:sz w:val="20"/>
          <w:szCs w:val="20"/>
        </w:rPr>
      </w:pPr>
      <w:r w:rsidRPr="000450F2">
        <w:rPr>
          <w:rFonts w:ascii="Arial" w:hAnsi="Arial"/>
          <w:sz w:val="20"/>
          <w:szCs w:val="20"/>
        </w:rPr>
        <w:t xml:space="preserve">Větrné elektrárny moderní generace využívají při výrobě lopatek rotoru a jejich povrchových úpravách materiály obsahující per- a </w:t>
      </w:r>
      <w:proofErr w:type="spellStart"/>
      <w:r w:rsidRPr="000450F2">
        <w:rPr>
          <w:rFonts w:ascii="Arial" w:hAnsi="Arial"/>
          <w:sz w:val="20"/>
          <w:szCs w:val="20"/>
        </w:rPr>
        <w:t>polyfluoroalkylové</w:t>
      </w:r>
      <w:proofErr w:type="spellEnd"/>
      <w:r w:rsidRPr="000450F2">
        <w:rPr>
          <w:rFonts w:ascii="Arial" w:hAnsi="Arial"/>
          <w:sz w:val="20"/>
          <w:szCs w:val="20"/>
        </w:rPr>
        <w:t xml:space="preserve"> látky (PFAS), označované jako tzv. věčné chemikálie. Tyto látky jsou vysoce persistentní, </w:t>
      </w:r>
      <w:proofErr w:type="spellStart"/>
      <w:r w:rsidRPr="000450F2">
        <w:rPr>
          <w:rFonts w:ascii="Arial" w:hAnsi="Arial"/>
          <w:sz w:val="20"/>
          <w:szCs w:val="20"/>
        </w:rPr>
        <w:t>bioakumulativní</w:t>
      </w:r>
      <w:proofErr w:type="spellEnd"/>
      <w:r w:rsidRPr="000450F2">
        <w:rPr>
          <w:rFonts w:ascii="Arial" w:hAnsi="Arial"/>
          <w:sz w:val="20"/>
          <w:szCs w:val="20"/>
        </w:rPr>
        <w:t xml:space="preserve"> a toxické, přičemž jejich úplné environmentální účinky dosud nejsou plně prozkoumány.</w:t>
      </w:r>
      <w:r w:rsidR="000450F2" w:rsidRPr="000450F2">
        <w:rPr>
          <w:rFonts w:ascii="Arial" w:hAnsi="Arial"/>
          <w:sz w:val="20"/>
          <w:szCs w:val="20"/>
        </w:rPr>
        <w:t xml:space="preserve"> Kontaminace PFAS je v přírodě nevratná a sanace extrémně nákladná. Znečištění postihuje zejména dosud průmyslově nezasažené venkovské oblasti – přesně takové, na jaké vymezené AOV cílí.</w:t>
      </w:r>
    </w:p>
    <w:p w14:paraId="5F462B52" w14:textId="77777777" w:rsidR="000450F2" w:rsidRPr="000450F2" w:rsidRDefault="000450F2" w:rsidP="000450F2">
      <w:pPr>
        <w:pStyle w:val="Standard"/>
        <w:jc w:val="both"/>
        <w:rPr>
          <w:rFonts w:ascii="Arial" w:hAnsi="Arial"/>
          <w:sz w:val="20"/>
          <w:szCs w:val="20"/>
        </w:rPr>
      </w:pPr>
    </w:p>
    <w:p w14:paraId="21F8CD6B" w14:textId="77777777" w:rsidR="000450F2" w:rsidRPr="000450F2" w:rsidRDefault="000450F2" w:rsidP="000450F2">
      <w:pPr>
        <w:pStyle w:val="Standard"/>
        <w:spacing w:line="276" w:lineRule="auto"/>
        <w:jc w:val="both"/>
        <w:rPr>
          <w:rFonts w:ascii="Arial" w:hAnsi="Arial"/>
          <w:sz w:val="20"/>
          <w:szCs w:val="20"/>
        </w:rPr>
      </w:pPr>
      <w:r w:rsidRPr="000450F2">
        <w:rPr>
          <w:rFonts w:ascii="Arial" w:hAnsi="Arial"/>
          <w:b/>
          <w:sz w:val="20"/>
          <w:szCs w:val="20"/>
        </w:rPr>
        <w:t>8/</w:t>
      </w:r>
      <w:r w:rsidRPr="000450F2">
        <w:rPr>
          <w:rFonts w:ascii="Arial" w:hAnsi="Arial"/>
          <w:sz w:val="20"/>
          <w:szCs w:val="20"/>
        </w:rPr>
        <w:t xml:space="preserve"> </w:t>
      </w:r>
      <w:r w:rsidRPr="000450F2">
        <w:rPr>
          <w:rFonts w:ascii="Arial" w:hAnsi="Arial"/>
          <w:b/>
          <w:sz w:val="20"/>
          <w:szCs w:val="20"/>
        </w:rPr>
        <w:t>Nedostatečná úprava rekultivace</w:t>
      </w:r>
      <w:r w:rsidRPr="000450F2">
        <w:rPr>
          <w:rFonts w:ascii="Arial" w:hAnsi="Arial"/>
          <w:b/>
          <w:bCs/>
          <w:sz w:val="20"/>
          <w:szCs w:val="20"/>
        </w:rPr>
        <w:t xml:space="preserve"> a zajištění pozemků po dožití VTE</w:t>
      </w:r>
    </w:p>
    <w:p w14:paraId="60ED5989" w14:textId="77777777" w:rsidR="000450F2" w:rsidRPr="000450F2" w:rsidRDefault="000450F2" w:rsidP="000450F2">
      <w:pPr>
        <w:pStyle w:val="Standard"/>
        <w:spacing w:line="276" w:lineRule="auto"/>
        <w:jc w:val="both"/>
        <w:rPr>
          <w:rFonts w:ascii="Arial" w:hAnsi="Arial"/>
          <w:sz w:val="20"/>
          <w:szCs w:val="20"/>
        </w:rPr>
      </w:pPr>
      <w:r w:rsidRPr="000450F2">
        <w:rPr>
          <w:rFonts w:ascii="Arial" w:hAnsi="Arial"/>
          <w:sz w:val="20"/>
          <w:szCs w:val="20"/>
        </w:rPr>
        <w:t>Opatření obecné povahy neupravuje povinnosti investora ani provozovatele VTE ve vztahu k rekultivaci dotčených pozemků po skončení životnosti VTE (typicky 20 až 30 let). Zejména chybí: povinnost složení finanční záruky (kauce nebo bankovní záruky) kryjící náklady demolice, odvozu a rekultivace pozemků po likvidaci VTE, závazný postup pro sanaci půdy v případě úniku provozních kapalin nebo kontaminace PFAS,  povinnost uvést dotčené pozemky do stavu způsobilého pro původní využití (zemědělské či myslivecké využití) včetně odstranění spodní stavby VTE. Bez těchto státních garancí nesou veškerá rizika pozdějšího znečištění a znehodnocení pozemků jejich vlastníci.</w:t>
      </w:r>
    </w:p>
    <w:p w14:paraId="0C90CA8B" w14:textId="77777777" w:rsidR="000450F2" w:rsidRPr="000450F2" w:rsidRDefault="000450F2" w:rsidP="000450F2">
      <w:pPr>
        <w:pStyle w:val="Standard"/>
        <w:spacing w:line="276" w:lineRule="auto"/>
        <w:jc w:val="both"/>
        <w:rPr>
          <w:rFonts w:ascii="Arial" w:hAnsi="Arial"/>
          <w:sz w:val="20"/>
          <w:szCs w:val="20"/>
        </w:rPr>
      </w:pPr>
    </w:p>
    <w:p w14:paraId="29B6EDF2" w14:textId="77777777" w:rsidR="000450F2" w:rsidRPr="000450F2" w:rsidRDefault="000450F2" w:rsidP="000450F2">
      <w:pPr>
        <w:pStyle w:val="Standard"/>
        <w:spacing w:after="40"/>
        <w:rPr>
          <w:rFonts w:ascii="Arial" w:hAnsi="Arial"/>
          <w:b/>
          <w:bCs/>
          <w:sz w:val="20"/>
          <w:szCs w:val="20"/>
        </w:rPr>
      </w:pPr>
      <w:r w:rsidRPr="000450F2">
        <w:rPr>
          <w:rFonts w:ascii="Arial" w:hAnsi="Arial"/>
          <w:b/>
          <w:sz w:val="20"/>
          <w:szCs w:val="20"/>
        </w:rPr>
        <w:t xml:space="preserve">9/ </w:t>
      </w:r>
      <w:r w:rsidRPr="000450F2">
        <w:rPr>
          <w:rFonts w:ascii="Arial" w:hAnsi="Arial"/>
          <w:b/>
          <w:bCs/>
          <w:sz w:val="20"/>
          <w:szCs w:val="20"/>
        </w:rPr>
        <w:t>Zábor ZPF a dopravní dopad přepravy rotorů</w:t>
      </w:r>
    </w:p>
    <w:p w14:paraId="69D32046" w14:textId="77777777" w:rsidR="000450F2" w:rsidRPr="000450F2" w:rsidRDefault="000450F2" w:rsidP="000450F2">
      <w:pPr>
        <w:pStyle w:val="Standard"/>
        <w:spacing w:after="40"/>
        <w:jc w:val="both"/>
        <w:rPr>
          <w:rFonts w:ascii="Arial" w:hAnsi="Arial"/>
          <w:sz w:val="20"/>
          <w:szCs w:val="20"/>
        </w:rPr>
      </w:pPr>
      <w:r w:rsidRPr="000450F2">
        <w:rPr>
          <w:rFonts w:ascii="Arial" w:hAnsi="Arial"/>
          <w:sz w:val="20"/>
          <w:szCs w:val="20"/>
        </w:rPr>
        <w:t>a) SEA hodnocení uvádí přítomnost ZPF ve II., III., IV. a V. třídě ochrany. Pro umístění VTE však nejde pouze o samotné patky, ale také o manipulační plochy, nové nebo upravené přístupové komunikace, kabelové trasy, rozvodny a zařízení pro skladování elektřiny. Převoz rotorových listů o délce přes 80 m (VTE 200 m) bude znamenat zásahy do místní dopravní infrastruktury, které nejsou v dokumentaci dostatečně konkretizovány.</w:t>
      </w:r>
    </w:p>
    <w:p w14:paraId="638A0295" w14:textId="77777777" w:rsidR="000450F2" w:rsidRDefault="000450F2" w:rsidP="000450F2">
      <w:pPr>
        <w:pStyle w:val="Standard"/>
        <w:spacing w:after="40"/>
        <w:jc w:val="both"/>
        <w:rPr>
          <w:rFonts w:ascii="Arial" w:hAnsi="Arial"/>
          <w:bCs/>
          <w:sz w:val="20"/>
          <w:szCs w:val="20"/>
        </w:rPr>
      </w:pPr>
      <w:r w:rsidRPr="000450F2">
        <w:rPr>
          <w:rFonts w:ascii="Arial" w:hAnsi="Arial"/>
          <w:sz w:val="20"/>
          <w:szCs w:val="20"/>
        </w:rPr>
        <w:t xml:space="preserve">b)Akcelerační oblasti jsou stanoveny na ZPF II. a III. třídě ochrany a na pozemcích kde v současné době jsou akceleračními oblastmi  dotčené pozemky využívány k zemědělské výrobě. Podle § 4. zákona č. 249/2025 Sb. mají být akcelerační oblasti vymezovány primárně na  zastavěných a umělých plochách, brownfieldech, degradovaných územích. Stanovením AOV 29,30,31 a AOS1 a 2 </w:t>
      </w:r>
      <w:r w:rsidRPr="000450F2">
        <w:rPr>
          <w:rFonts w:ascii="Arial" w:hAnsi="Arial"/>
          <w:bCs/>
          <w:sz w:val="20"/>
          <w:szCs w:val="20"/>
        </w:rPr>
        <w:t>je porušován zákon č. 249/2025 Sb.</w:t>
      </w:r>
    </w:p>
    <w:p w14:paraId="6047F152" w14:textId="4CA68643" w:rsidR="00C21634" w:rsidRPr="000450F2" w:rsidRDefault="00C21634" w:rsidP="000450F2">
      <w:pPr>
        <w:pStyle w:val="Standard"/>
        <w:spacing w:after="40"/>
        <w:jc w:val="both"/>
        <w:rPr>
          <w:rFonts w:ascii="Arial" w:hAnsi="Arial"/>
          <w:sz w:val="20"/>
          <w:szCs w:val="20"/>
        </w:rPr>
      </w:pPr>
      <w:r>
        <w:rPr>
          <w:rFonts w:ascii="Arial" w:hAnsi="Arial"/>
          <w:bCs/>
          <w:sz w:val="20"/>
          <w:szCs w:val="20"/>
        </w:rPr>
        <w:t>c) S ohledem na geologické podloží v daných regionech a rozsahu staveb VTE je vysoce pravděpodobné, že dojde k ohrožení podzemních vod.</w:t>
      </w:r>
    </w:p>
    <w:p w14:paraId="39B9188A" w14:textId="77777777" w:rsidR="000450F2" w:rsidRPr="000450F2" w:rsidRDefault="000450F2" w:rsidP="000450F2">
      <w:pPr>
        <w:pStyle w:val="Standard"/>
        <w:jc w:val="both"/>
        <w:rPr>
          <w:rFonts w:ascii="Arial" w:hAnsi="Arial"/>
          <w:sz w:val="20"/>
          <w:szCs w:val="20"/>
        </w:rPr>
      </w:pPr>
    </w:p>
    <w:p w14:paraId="0CEF4692" w14:textId="77777777" w:rsidR="006978F6" w:rsidRPr="000450F2" w:rsidRDefault="000450F2" w:rsidP="006978F6">
      <w:pPr>
        <w:pStyle w:val="Standard"/>
        <w:jc w:val="both"/>
        <w:rPr>
          <w:rFonts w:ascii="Arial" w:hAnsi="Arial"/>
          <w:b/>
          <w:sz w:val="20"/>
          <w:szCs w:val="20"/>
        </w:rPr>
      </w:pPr>
      <w:r w:rsidRPr="000450F2">
        <w:rPr>
          <w:rFonts w:ascii="Arial" w:hAnsi="Arial"/>
          <w:b/>
          <w:sz w:val="20"/>
          <w:szCs w:val="20"/>
        </w:rPr>
        <w:t xml:space="preserve">10/ Technická a bezpečnostní rizika </w:t>
      </w:r>
    </w:p>
    <w:p w14:paraId="5272F9BF" w14:textId="77777777" w:rsidR="00572431" w:rsidRPr="000450F2" w:rsidRDefault="000450F2" w:rsidP="000450F2">
      <w:pPr>
        <w:pStyle w:val="Bezmezer"/>
        <w:jc w:val="both"/>
        <w:rPr>
          <w:rFonts w:ascii="Arial" w:hAnsi="Arial" w:cs="Arial"/>
          <w:sz w:val="20"/>
          <w:szCs w:val="20"/>
        </w:rPr>
      </w:pPr>
      <w:r w:rsidRPr="000450F2">
        <w:rPr>
          <w:rFonts w:ascii="Arial" w:hAnsi="Arial" w:cs="Arial"/>
          <w:sz w:val="20"/>
          <w:szCs w:val="20"/>
        </w:rPr>
        <w:t xml:space="preserve">odlet ledu z rotorů v zimě, pád částí konstrukce, únik provozních kapalin, kontaminace půdy a  vody, požáry zařízení (obtížně zvládnutelné zásahy, se kterými nemá hasičský záchranný sbor žádné zkušenosti ani odpovídající techniku), zásah bleskem, šíření požáru do krajiny, omezení možnosti hašení, otázka dostupnosti zařízení v terénu pro HZS, v ČR dosud neexistuje právní ani metodická úprava požární bezpečnosti týkající se VTE, a nejsou legislativně stanoveny konkrétní odstupové vzdálenosti VTE a ostatních zařízení (např. úložiště baterií) od lesů či obytné zástavby z hlediska požárního rizika, Ministerstvo dopravy připustilo existenci bezpečnostních rizik spojených s VTE, zejména vizuální distrakce řidičů, stínových efektů, nočního překážkového osvětlení, odletu ledu či havárií a odletu částí konstrukcí, </w:t>
      </w:r>
      <w:r w:rsidRPr="000450F2">
        <w:rPr>
          <w:rFonts w:ascii="Arial" w:hAnsi="Arial" w:cs="Arial"/>
          <w:color w:val="000000"/>
          <w:sz w:val="20"/>
          <w:szCs w:val="20"/>
        </w:rPr>
        <w:t>dopady souvislého pásu VTE na zásahy vrtulníků integrovaného záchranného systému</w:t>
      </w:r>
      <w:r>
        <w:rPr>
          <w:rFonts w:ascii="Arial" w:hAnsi="Arial" w:cs="Arial"/>
          <w:sz w:val="20"/>
          <w:szCs w:val="20"/>
        </w:rPr>
        <w:t xml:space="preserve"> …</w:t>
      </w:r>
    </w:p>
    <w:p w14:paraId="1FE402C2" w14:textId="77777777" w:rsidR="00572431" w:rsidRDefault="00572431" w:rsidP="00572431">
      <w:pPr>
        <w:pStyle w:val="Standard"/>
        <w:spacing w:line="276" w:lineRule="auto"/>
        <w:jc w:val="both"/>
        <w:rPr>
          <w:rFonts w:ascii="Arial" w:hAnsi="Arial"/>
          <w:b/>
          <w:sz w:val="20"/>
          <w:szCs w:val="20"/>
        </w:rPr>
      </w:pPr>
    </w:p>
    <w:p w14:paraId="094A954F" w14:textId="77777777" w:rsidR="000450F2" w:rsidRDefault="000450F2" w:rsidP="00572431">
      <w:pPr>
        <w:pStyle w:val="Standard"/>
        <w:spacing w:line="276" w:lineRule="auto"/>
        <w:jc w:val="both"/>
        <w:rPr>
          <w:rFonts w:ascii="Arial" w:hAnsi="Arial"/>
          <w:b/>
          <w:sz w:val="20"/>
          <w:szCs w:val="20"/>
        </w:rPr>
      </w:pPr>
    </w:p>
    <w:p w14:paraId="0D4EC075" w14:textId="77777777" w:rsidR="000450F2" w:rsidRPr="000450F2" w:rsidRDefault="000450F2" w:rsidP="000450F2">
      <w:pPr>
        <w:pStyle w:val="Standard"/>
        <w:jc w:val="both"/>
        <w:rPr>
          <w:rFonts w:ascii="Arial" w:hAnsi="Arial"/>
          <w:sz w:val="20"/>
          <w:szCs w:val="20"/>
        </w:rPr>
      </w:pPr>
      <w:r w:rsidRPr="000450F2">
        <w:rPr>
          <w:rFonts w:ascii="Arial" w:hAnsi="Arial"/>
          <w:sz w:val="20"/>
          <w:szCs w:val="20"/>
        </w:rPr>
        <w:t>Petici sestavil Petiční výbor ve složení:</w:t>
      </w:r>
      <w:bookmarkStart w:id="0" w:name="_Hlk210147804"/>
      <w:bookmarkEnd w:id="0"/>
    </w:p>
    <w:p w14:paraId="213A0A4B" w14:textId="77777777" w:rsidR="000450F2" w:rsidRPr="000450F2" w:rsidRDefault="000450F2" w:rsidP="000450F2">
      <w:pPr>
        <w:pStyle w:val="Standard"/>
        <w:jc w:val="both"/>
        <w:rPr>
          <w:rFonts w:ascii="Arial" w:hAnsi="Arial"/>
          <w:sz w:val="20"/>
          <w:szCs w:val="20"/>
        </w:rPr>
      </w:pPr>
    </w:p>
    <w:p w14:paraId="4AA9A527" w14:textId="7E2FA2B2" w:rsidR="000450F2" w:rsidRPr="00AE55A5" w:rsidRDefault="000450F2" w:rsidP="000450F2">
      <w:pPr>
        <w:pStyle w:val="Standard"/>
        <w:jc w:val="both"/>
        <w:rPr>
          <w:rFonts w:ascii="Arial" w:hAnsi="Arial"/>
          <w:sz w:val="20"/>
          <w:szCs w:val="20"/>
        </w:rPr>
      </w:pPr>
      <w:r w:rsidRPr="000450F2">
        <w:rPr>
          <w:rFonts w:ascii="Arial" w:hAnsi="Arial"/>
          <w:sz w:val="20"/>
          <w:szCs w:val="20"/>
        </w:rPr>
        <w:t xml:space="preserve">1) </w:t>
      </w:r>
      <w:r w:rsidR="00AE55A5">
        <w:rPr>
          <w:rFonts w:ascii="Arial" w:hAnsi="Arial"/>
          <w:sz w:val="20"/>
          <w:szCs w:val="20"/>
        </w:rPr>
        <w:t xml:space="preserve">  </w:t>
      </w:r>
      <w:r w:rsidRPr="00AE55A5">
        <w:rPr>
          <w:rFonts w:ascii="Arial" w:hAnsi="Arial"/>
          <w:sz w:val="20"/>
          <w:szCs w:val="20"/>
        </w:rPr>
        <w:t>Miroslav Maťa, Všechovice 129, 753 53</w:t>
      </w:r>
    </w:p>
    <w:p w14:paraId="6931B510" w14:textId="3FA0281C" w:rsidR="000450F2" w:rsidRPr="00AE55A5" w:rsidRDefault="000450F2" w:rsidP="000450F2">
      <w:pPr>
        <w:pStyle w:val="Standard"/>
        <w:jc w:val="both"/>
        <w:rPr>
          <w:rFonts w:ascii="Arial" w:hAnsi="Arial"/>
          <w:sz w:val="20"/>
          <w:szCs w:val="20"/>
        </w:rPr>
      </w:pPr>
      <w:r w:rsidRPr="00AE55A5">
        <w:rPr>
          <w:rFonts w:ascii="Arial" w:hAnsi="Arial"/>
          <w:sz w:val="20"/>
          <w:szCs w:val="20"/>
        </w:rPr>
        <w:t xml:space="preserve">2) </w:t>
      </w:r>
      <w:r w:rsidR="00AE55A5" w:rsidRPr="00AE55A5">
        <w:rPr>
          <w:rFonts w:ascii="Arial" w:hAnsi="Arial"/>
          <w:sz w:val="20"/>
          <w:szCs w:val="20"/>
        </w:rPr>
        <w:t xml:space="preserve">  </w:t>
      </w:r>
      <w:r w:rsidRPr="00AE55A5">
        <w:rPr>
          <w:rFonts w:ascii="Arial" w:hAnsi="Arial"/>
          <w:sz w:val="20"/>
          <w:szCs w:val="20"/>
        </w:rPr>
        <w:t>Tomáš Pokorný, Rouské 79, 753 53</w:t>
      </w:r>
    </w:p>
    <w:p w14:paraId="32FC163B" w14:textId="73D4A3E3" w:rsidR="000450F2" w:rsidRPr="00AE55A5" w:rsidRDefault="000450F2" w:rsidP="000450F2">
      <w:pPr>
        <w:pStyle w:val="Standard"/>
        <w:jc w:val="both"/>
        <w:rPr>
          <w:rFonts w:ascii="Arial" w:hAnsi="Arial"/>
          <w:sz w:val="20"/>
          <w:szCs w:val="20"/>
        </w:rPr>
      </w:pPr>
      <w:r w:rsidRPr="00AE55A5">
        <w:rPr>
          <w:rFonts w:ascii="Arial" w:hAnsi="Arial"/>
          <w:sz w:val="20"/>
          <w:szCs w:val="20"/>
        </w:rPr>
        <w:t xml:space="preserve">3) </w:t>
      </w:r>
      <w:r w:rsidR="00AE55A5" w:rsidRPr="00AE55A5">
        <w:rPr>
          <w:rFonts w:ascii="Arial" w:hAnsi="Arial"/>
          <w:sz w:val="20"/>
          <w:szCs w:val="20"/>
        </w:rPr>
        <w:t xml:space="preserve">  </w:t>
      </w:r>
      <w:r w:rsidRPr="00AE55A5">
        <w:rPr>
          <w:rFonts w:ascii="Arial" w:hAnsi="Arial"/>
          <w:sz w:val="20"/>
          <w:szCs w:val="20"/>
        </w:rPr>
        <w:t>Marcela Hradilová, Horní Újezd 80, 753 53</w:t>
      </w:r>
    </w:p>
    <w:p w14:paraId="0BEDB319" w14:textId="5C27898C" w:rsidR="000450F2" w:rsidRPr="00AE55A5" w:rsidRDefault="000450F2" w:rsidP="000450F2">
      <w:pPr>
        <w:pStyle w:val="Standard"/>
        <w:jc w:val="both"/>
        <w:rPr>
          <w:rFonts w:ascii="Arial" w:hAnsi="Arial"/>
          <w:sz w:val="20"/>
          <w:szCs w:val="20"/>
        </w:rPr>
      </w:pPr>
      <w:r w:rsidRPr="00AE55A5">
        <w:rPr>
          <w:rFonts w:ascii="Arial" w:hAnsi="Arial"/>
          <w:sz w:val="20"/>
          <w:szCs w:val="20"/>
        </w:rPr>
        <w:t xml:space="preserve">4) </w:t>
      </w:r>
      <w:r w:rsidR="00AE55A5" w:rsidRPr="00AE55A5">
        <w:rPr>
          <w:rFonts w:ascii="Arial" w:hAnsi="Arial"/>
          <w:sz w:val="20"/>
          <w:szCs w:val="20"/>
        </w:rPr>
        <w:t xml:space="preserve">  </w:t>
      </w:r>
      <w:r w:rsidRPr="00AE55A5">
        <w:rPr>
          <w:rFonts w:ascii="Arial" w:hAnsi="Arial"/>
          <w:sz w:val="20"/>
          <w:szCs w:val="20"/>
        </w:rPr>
        <w:t>Jana Michálková, Všechovice 182, 753 53</w:t>
      </w:r>
    </w:p>
    <w:p w14:paraId="4430C03B" w14:textId="712087E3" w:rsidR="00AE55A5" w:rsidRPr="00AE55A5" w:rsidRDefault="00AE55A5" w:rsidP="00AE55A5">
      <w:pPr>
        <w:pStyle w:val="Standard"/>
        <w:rPr>
          <w:rFonts w:ascii="Arial" w:hAnsi="Arial"/>
          <w:sz w:val="20"/>
          <w:szCs w:val="20"/>
        </w:rPr>
      </w:pPr>
      <w:r w:rsidRPr="00AE55A5">
        <w:rPr>
          <w:rFonts w:ascii="Arial" w:hAnsi="Arial"/>
          <w:sz w:val="20"/>
          <w:szCs w:val="20"/>
        </w:rPr>
        <w:t xml:space="preserve">5)   </w:t>
      </w:r>
      <w:r w:rsidR="00B12F88">
        <w:rPr>
          <w:rFonts w:ascii="Arial" w:hAnsi="Arial"/>
          <w:sz w:val="20"/>
          <w:szCs w:val="20"/>
        </w:rPr>
        <w:t xml:space="preserve">Bc. </w:t>
      </w:r>
      <w:r w:rsidRPr="00AE55A5">
        <w:rPr>
          <w:rFonts w:ascii="Arial" w:hAnsi="Arial"/>
          <w:sz w:val="20"/>
          <w:szCs w:val="20"/>
        </w:rPr>
        <w:t>Jan Kundrát, Podol</w:t>
      </w:r>
      <w:r w:rsidR="00B12F88">
        <w:rPr>
          <w:rFonts w:ascii="Arial" w:hAnsi="Arial"/>
          <w:sz w:val="20"/>
          <w:szCs w:val="20"/>
        </w:rPr>
        <w:t>í 113, 756 44</w:t>
      </w:r>
    </w:p>
    <w:p w14:paraId="1D4B7240" w14:textId="77777777" w:rsidR="00AE55A5" w:rsidRPr="00AE55A5" w:rsidRDefault="00AE55A5" w:rsidP="00AE55A5">
      <w:pPr>
        <w:pStyle w:val="Standard"/>
        <w:rPr>
          <w:rFonts w:ascii="Arial" w:hAnsi="Arial"/>
          <w:sz w:val="20"/>
          <w:szCs w:val="20"/>
        </w:rPr>
      </w:pPr>
      <w:r w:rsidRPr="00AE55A5">
        <w:rPr>
          <w:rFonts w:ascii="Arial" w:hAnsi="Arial"/>
          <w:sz w:val="20"/>
          <w:szCs w:val="20"/>
        </w:rPr>
        <w:t xml:space="preserve">6)   Lukáš </w:t>
      </w:r>
      <w:proofErr w:type="spellStart"/>
      <w:r w:rsidRPr="00AE55A5">
        <w:rPr>
          <w:rFonts w:ascii="Arial" w:hAnsi="Arial"/>
          <w:sz w:val="20"/>
          <w:szCs w:val="20"/>
        </w:rPr>
        <w:t>Krajcar</w:t>
      </w:r>
      <w:proofErr w:type="spellEnd"/>
      <w:r w:rsidRPr="00AE55A5">
        <w:rPr>
          <w:rFonts w:ascii="Arial" w:hAnsi="Arial"/>
          <w:sz w:val="20"/>
          <w:szCs w:val="20"/>
        </w:rPr>
        <w:t>, Loučka 207, 756 44</w:t>
      </w:r>
    </w:p>
    <w:p w14:paraId="726ABA6B" w14:textId="77777777" w:rsidR="00AE55A5" w:rsidRPr="00AE55A5" w:rsidRDefault="00AE55A5" w:rsidP="00AE55A5">
      <w:pPr>
        <w:pStyle w:val="Standard"/>
        <w:rPr>
          <w:rFonts w:ascii="Arial" w:hAnsi="Arial"/>
          <w:sz w:val="20"/>
          <w:szCs w:val="20"/>
        </w:rPr>
      </w:pPr>
      <w:r w:rsidRPr="00AE55A5">
        <w:rPr>
          <w:rFonts w:ascii="Arial" w:hAnsi="Arial"/>
          <w:sz w:val="20"/>
          <w:szCs w:val="20"/>
        </w:rPr>
        <w:t>7)   Markéta Zimová, Kelč 265, 756 43</w:t>
      </w:r>
    </w:p>
    <w:p w14:paraId="037E8B6B" w14:textId="77777777" w:rsidR="00AE55A5" w:rsidRPr="00AE55A5" w:rsidRDefault="00AE55A5" w:rsidP="00AE55A5">
      <w:pPr>
        <w:pStyle w:val="Standard"/>
        <w:rPr>
          <w:rFonts w:ascii="Arial" w:hAnsi="Arial"/>
          <w:sz w:val="20"/>
          <w:szCs w:val="20"/>
        </w:rPr>
      </w:pPr>
      <w:r w:rsidRPr="00AE55A5">
        <w:rPr>
          <w:rFonts w:ascii="Arial" w:hAnsi="Arial"/>
          <w:sz w:val="20"/>
          <w:szCs w:val="20"/>
        </w:rPr>
        <w:t>8)   Radek Pelc, Kelč 41, 756 43</w:t>
      </w:r>
    </w:p>
    <w:p w14:paraId="28B734C1" w14:textId="77777777" w:rsidR="00AE55A5" w:rsidRPr="00AE55A5" w:rsidRDefault="00AE55A5" w:rsidP="00AE55A5">
      <w:pPr>
        <w:pStyle w:val="Standard"/>
        <w:rPr>
          <w:rFonts w:ascii="Arial" w:hAnsi="Arial"/>
          <w:sz w:val="20"/>
          <w:szCs w:val="20"/>
        </w:rPr>
      </w:pPr>
      <w:r w:rsidRPr="00AE55A5">
        <w:rPr>
          <w:rFonts w:ascii="Arial" w:hAnsi="Arial"/>
          <w:sz w:val="20"/>
          <w:szCs w:val="20"/>
        </w:rPr>
        <w:t xml:space="preserve">9)   Mgr. Ivana </w:t>
      </w:r>
      <w:proofErr w:type="spellStart"/>
      <w:r w:rsidRPr="00AE55A5">
        <w:rPr>
          <w:rFonts w:ascii="Arial" w:hAnsi="Arial"/>
          <w:sz w:val="20"/>
          <w:szCs w:val="20"/>
        </w:rPr>
        <w:t>Sturm</w:t>
      </w:r>
      <w:proofErr w:type="spellEnd"/>
      <w:r w:rsidRPr="00AE55A5">
        <w:rPr>
          <w:rFonts w:ascii="Arial" w:hAnsi="Arial"/>
          <w:sz w:val="20"/>
          <w:szCs w:val="20"/>
        </w:rPr>
        <w:t>, Branky 326, 756 45</w:t>
      </w:r>
    </w:p>
    <w:p w14:paraId="176FA263" w14:textId="77777777" w:rsidR="00AE55A5" w:rsidRPr="00AE55A5" w:rsidRDefault="00AE55A5" w:rsidP="00AE55A5">
      <w:pPr>
        <w:pStyle w:val="Standard"/>
        <w:rPr>
          <w:rFonts w:ascii="Arial" w:hAnsi="Arial"/>
          <w:sz w:val="20"/>
          <w:szCs w:val="20"/>
        </w:rPr>
      </w:pPr>
      <w:r w:rsidRPr="00AE55A5">
        <w:rPr>
          <w:rFonts w:ascii="Arial" w:hAnsi="Arial"/>
          <w:sz w:val="20"/>
          <w:szCs w:val="20"/>
        </w:rPr>
        <w:t xml:space="preserve">10) Ing. Bc. Eva </w:t>
      </w:r>
      <w:proofErr w:type="spellStart"/>
      <w:r w:rsidRPr="00AE55A5">
        <w:rPr>
          <w:rFonts w:ascii="Arial" w:hAnsi="Arial"/>
          <w:sz w:val="20"/>
          <w:szCs w:val="20"/>
        </w:rPr>
        <w:t>Badinková</w:t>
      </w:r>
      <w:proofErr w:type="spellEnd"/>
      <w:r w:rsidRPr="00AE55A5">
        <w:rPr>
          <w:rFonts w:ascii="Arial" w:hAnsi="Arial"/>
          <w:sz w:val="20"/>
          <w:szCs w:val="20"/>
        </w:rPr>
        <w:t>, Bystřice pod Hostýnem, Přerovská 36, 768 61</w:t>
      </w:r>
    </w:p>
    <w:p w14:paraId="30B57460" w14:textId="77777777" w:rsidR="00AE55A5" w:rsidRPr="00AE55A5" w:rsidRDefault="00AE55A5" w:rsidP="00AE55A5">
      <w:pPr>
        <w:pStyle w:val="Standard"/>
        <w:rPr>
          <w:rFonts w:ascii="Arial" w:hAnsi="Arial"/>
          <w:sz w:val="20"/>
          <w:szCs w:val="20"/>
        </w:rPr>
      </w:pPr>
      <w:r w:rsidRPr="00AE55A5">
        <w:rPr>
          <w:rFonts w:ascii="Arial" w:hAnsi="Arial"/>
          <w:sz w:val="20"/>
          <w:szCs w:val="20"/>
        </w:rPr>
        <w:t>11) Ing. Milada Chytilová, Dřevohostice, Mlýnská 454, 751 14</w:t>
      </w:r>
    </w:p>
    <w:p w14:paraId="4911F50A" w14:textId="77777777" w:rsidR="000450F2" w:rsidRPr="000450F2" w:rsidRDefault="000450F2" w:rsidP="00572431">
      <w:pPr>
        <w:pStyle w:val="Standard"/>
        <w:spacing w:line="276" w:lineRule="auto"/>
        <w:jc w:val="both"/>
        <w:rPr>
          <w:rFonts w:ascii="Arial" w:hAnsi="Arial"/>
          <w:b/>
          <w:sz w:val="20"/>
          <w:szCs w:val="20"/>
        </w:rPr>
      </w:pPr>
    </w:p>
    <w:sectPr w:rsidR="000450F2" w:rsidRPr="00045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Calibri">
    <w:panose1 w:val="020F0502020204030204"/>
    <w:charset w:val="00"/>
    <w:family w:val="swiss"/>
    <w:pitch w:val="variable"/>
    <w:sig w:usb0="E5002EFF" w:usb1="C200ACFF"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4C46"/>
    <w:multiLevelType w:val="multilevel"/>
    <w:tmpl w:val="A360094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58058D"/>
    <w:multiLevelType w:val="multilevel"/>
    <w:tmpl w:val="4E64DD64"/>
    <w:lvl w:ilvl="0">
      <w:numFmt w:val="bullet"/>
      <w:lvlText w:val="•"/>
      <w:lvlJc w:val="left"/>
      <w:pPr>
        <w:ind w:left="787" w:hanging="360"/>
      </w:pPr>
      <w:rPr>
        <w:rFonts w:ascii="OpenSymbol" w:eastAsia="OpenSymbol" w:hAnsi="OpenSymbol" w:cs="OpenSymbol"/>
      </w:rPr>
    </w:lvl>
    <w:lvl w:ilvl="1">
      <w:numFmt w:val="bullet"/>
      <w:lvlText w:val="◦"/>
      <w:lvlJc w:val="left"/>
      <w:pPr>
        <w:ind w:left="1147" w:hanging="360"/>
      </w:pPr>
      <w:rPr>
        <w:rFonts w:ascii="OpenSymbol" w:eastAsia="OpenSymbol" w:hAnsi="OpenSymbol" w:cs="OpenSymbol"/>
      </w:rPr>
    </w:lvl>
    <w:lvl w:ilvl="2">
      <w:numFmt w:val="bullet"/>
      <w:lvlText w:val="▪"/>
      <w:lvlJc w:val="left"/>
      <w:pPr>
        <w:ind w:left="1507" w:hanging="360"/>
      </w:pPr>
      <w:rPr>
        <w:rFonts w:ascii="OpenSymbol" w:eastAsia="OpenSymbol" w:hAnsi="OpenSymbol" w:cs="OpenSymbol"/>
      </w:rPr>
    </w:lvl>
    <w:lvl w:ilvl="3">
      <w:numFmt w:val="bullet"/>
      <w:lvlText w:val="•"/>
      <w:lvlJc w:val="left"/>
      <w:pPr>
        <w:ind w:left="1867" w:hanging="360"/>
      </w:pPr>
      <w:rPr>
        <w:rFonts w:ascii="OpenSymbol" w:eastAsia="OpenSymbol" w:hAnsi="OpenSymbol" w:cs="OpenSymbol"/>
      </w:rPr>
    </w:lvl>
    <w:lvl w:ilvl="4">
      <w:numFmt w:val="bullet"/>
      <w:lvlText w:val="◦"/>
      <w:lvlJc w:val="left"/>
      <w:pPr>
        <w:ind w:left="2227" w:hanging="360"/>
      </w:pPr>
      <w:rPr>
        <w:rFonts w:ascii="OpenSymbol" w:eastAsia="OpenSymbol" w:hAnsi="OpenSymbol" w:cs="OpenSymbol"/>
      </w:rPr>
    </w:lvl>
    <w:lvl w:ilvl="5">
      <w:numFmt w:val="bullet"/>
      <w:lvlText w:val="▪"/>
      <w:lvlJc w:val="left"/>
      <w:pPr>
        <w:ind w:left="2587" w:hanging="360"/>
      </w:pPr>
      <w:rPr>
        <w:rFonts w:ascii="OpenSymbol" w:eastAsia="OpenSymbol" w:hAnsi="OpenSymbol" w:cs="OpenSymbol"/>
      </w:rPr>
    </w:lvl>
    <w:lvl w:ilvl="6">
      <w:numFmt w:val="bullet"/>
      <w:lvlText w:val="•"/>
      <w:lvlJc w:val="left"/>
      <w:pPr>
        <w:ind w:left="2947" w:hanging="360"/>
      </w:pPr>
      <w:rPr>
        <w:rFonts w:ascii="OpenSymbol" w:eastAsia="OpenSymbol" w:hAnsi="OpenSymbol" w:cs="OpenSymbol"/>
      </w:rPr>
    </w:lvl>
    <w:lvl w:ilvl="7">
      <w:numFmt w:val="bullet"/>
      <w:lvlText w:val="◦"/>
      <w:lvlJc w:val="left"/>
      <w:pPr>
        <w:ind w:left="3307" w:hanging="360"/>
      </w:pPr>
      <w:rPr>
        <w:rFonts w:ascii="OpenSymbol" w:eastAsia="OpenSymbol" w:hAnsi="OpenSymbol" w:cs="OpenSymbol"/>
      </w:rPr>
    </w:lvl>
    <w:lvl w:ilvl="8">
      <w:numFmt w:val="bullet"/>
      <w:lvlText w:val="▪"/>
      <w:lvlJc w:val="left"/>
      <w:pPr>
        <w:ind w:left="3667" w:hanging="360"/>
      </w:pPr>
      <w:rPr>
        <w:rFonts w:ascii="OpenSymbol" w:eastAsia="OpenSymbol" w:hAnsi="OpenSymbol" w:cs="OpenSymbol"/>
      </w:rPr>
    </w:lvl>
  </w:abstractNum>
  <w:num w:numId="1" w16cid:durableId="1829249709">
    <w:abstractNumId w:val="1"/>
  </w:num>
  <w:num w:numId="2" w16cid:durableId="592663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31"/>
    <w:rsid w:val="000450F2"/>
    <w:rsid w:val="004173B0"/>
    <w:rsid w:val="00560D42"/>
    <w:rsid w:val="00572431"/>
    <w:rsid w:val="006978F6"/>
    <w:rsid w:val="008777A6"/>
    <w:rsid w:val="00AE55A5"/>
    <w:rsid w:val="00B12F88"/>
    <w:rsid w:val="00C21634"/>
    <w:rsid w:val="00CB2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8661"/>
  <w15:chartTrackingRefBased/>
  <w15:docId w15:val="{B7EA3B99-69D7-4DC3-A483-0EB96A8C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572431"/>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72431"/>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Bezmezer">
    <w:name w:val="No Spacing"/>
    <w:rsid w:val="000450F2"/>
    <w:pPr>
      <w:suppressAutoHyphens/>
      <w:autoSpaceDN w:val="0"/>
      <w:spacing w:after="0" w:line="240" w:lineRule="auto"/>
      <w:textAlignment w:val="baseline"/>
    </w:pPr>
    <w:rPr>
      <w:rFonts w:ascii="Liberation Serif" w:eastAsia="N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1135</Words>
  <Characters>6702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CUZK</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Vytisková Lenka</dc:creator>
  <cp:keywords/>
  <dc:description/>
  <cp:lastModifiedBy>Milada Chytilová</cp:lastModifiedBy>
  <cp:revision>6</cp:revision>
  <cp:lastPrinted>2026-08-11T17:43:00Z</cp:lastPrinted>
  <dcterms:created xsi:type="dcterms:W3CDTF">2026-08-11T06:37:00Z</dcterms:created>
  <dcterms:modified xsi:type="dcterms:W3CDTF">2026-08-11T17:43:00Z</dcterms:modified>
</cp:coreProperties>
</file>