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Jednací řád zastupitelstva obce Ctětín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Článek 1 – Úvodní ustanovení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Tento jednací řád upravuje organizaci, průběh a způsob hlasování na zasedání zastupitelstva obce Ctětín.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Jednací řád vychází ze zákona č. 128/2000 Sb., o obcích (obecní zřízení), a dalších platných právních předpisů.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Starosta a místostarosta vykonávají v souladu s tímto jednacím řádem pravomoci spojené s vedením zasedání, stanovováním programu jednání a zabezpečením pořádku.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Článek 2 – Zasedání zastupitelstva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Zasedání zastupitelstva se konají nejméně 1× za čtvrtletí nebo podle potřeby.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Místo a čas konání stanoví starosta nebo místostarosta a oznámí jej všem členům zastupitelstva a veřejnosti.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3. Zasedání je veřejné, pokud zákon nestanoví jinak.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Článek 3 – Svolání zasedání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 Zasedání svolává starosta nebo místostarosta.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 Oznámení o zasedání musí být doručeno členům zastupitelstva alespoň 5 dní předem a musí obsahovat: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- místo a čas konání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- program jednání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Článek 4 – Program jednání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Program jednání stanoví starosta nebo místostarosta.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Zastupitelé mohou navrhnout doplnění programu nejpozději 2 dny před zasedáním.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Program může být upraven pouze hlasováním zastupitelstva během zasedání.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Článek 5 – Průběh jednání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1. Zasedání řídí starosta nebo místostarosta.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 Průběh jednání: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1. Zahájení a kontrola usnášeníschopnosti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2. Schválení programu jednání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3. Projednávání jednotlivých bodů programu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4. Diskuze zastupitelů k projednávaným bodům programu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5. Vystoupení občanů (viz čl. 6)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6. Závěr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Článek 6 – Práva a povinnosti účastníků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1. Zastupitelé mají právo: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- předkládat návrhy a interpelace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- účastnit se diskuze a hlasování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- žádat o doplnění informací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2. Občané s trvalým pobytem v obci Ctětín mají právo: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- vyjádřit se k projednávaným bodům maximálně 1 minutu na osobu a projednávaný bod, pokud starosta nebo zastupitelstvo neurčí jinak.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 Osoby bez trvalého pobytu v obci Ctětín mohou vystoupit jen se souhlasem starosty nebo zastupitelstva; jejich vystoupení je rovněž omezeno na 1 minutu k projednávanému bodu.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4. Účastníci jednání jsou povinni: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- dodržovat pořádek a slušnost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- respektovat pokyny starosty nebo místostarosty k zajištění řádného a nerušeného průběhu zastupitelstva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5. Rušení pořádku, vykázání a přerušení jednání: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1. Účastník jednání, který opakovaně ruší průběh zasedání, nedodržuje časový limit nebo porušuje pravidla slušného chování, může být starostou napomenut.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2. Pokud napomenutí nebude respektováno, má starosta právo účastníka vykázat z jednání na dobu nezbytnou k obnovení pořádku.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3. Pokud rušení nelze jinak odstranit, má starosta právo přerušit veřejné  zasedání na nezbytnou dobu, aby bylo možné obnovení řádného průběhu jednání.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4. O vykázání účastníka nebo přerušení jednání je proveden zápis v zápise z jednání, včetně důvodu.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Článek 7 – Hlasování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1. Usnesení se přijímá prostou většinou přítomných členů, pokud zákon nestanoví jinak.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2. Hlasování je veřejné, pokud zastupitelstvo nerozhodne o tajném hlasování.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3. Hlasuje se hlasováním „pro“, „proti“ nebo „zdržel se“.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Článek 8 – Zápis z jednání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1. Z každého zasedání se pořizuje zápis, který obsahuje: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- datum a místo zasedání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- seznam přítomných zastupitelů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- průběh jednání a hlavní body diskuse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- přijatá usnesení a výsledky hlasování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- případné vykázání účastníků s uvedením důvodu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2. Zápis podepisují starosta, zapisovatel a ověřovatelé zápisu.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Článek 9 – Závěrečná ustanovení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1. Tento jednací řád může být měněn usnesením zastupitelstva.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2. Na všechny otázky neupravené tímto řádem se vztahují příslušná ustanovení zákona o obcích a dalších právních předpisů.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9ISq1DQ/FgwmUVeZrXMIPTjgw==">CgMxLjA4AHIhMVlmX1RDM29RbmUwOC1BVUN6VlVNWjlBUi1xeXpfZ213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